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8"/>
        <w:ind w:right="-284"/>
        <w:jc w:val="right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Приложение 6</w:t>
      </w:r>
      <w:r>
        <w:rPr>
          <w:sz w:val="28"/>
          <w:szCs w:val="28"/>
        </w:rPr>
      </w:r>
    </w:p>
    <w:p>
      <w:pPr>
        <w:pStyle w:val="878"/>
        <w:ind w:right="-284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к тарифному соглашению</w:t>
      </w:r>
      <w:r>
        <w:rPr>
          <w:sz w:val="28"/>
          <w:szCs w:val="28"/>
        </w:rPr>
      </w:r>
    </w:p>
    <w:p>
      <w:pPr>
        <w:pStyle w:val="878"/>
        <w:ind w:right="-284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в сфере обязательного медицинского</w:t>
      </w:r>
      <w:r>
        <w:rPr>
          <w:sz w:val="28"/>
          <w:szCs w:val="28"/>
        </w:rPr>
      </w:r>
    </w:p>
    <w:p>
      <w:pPr>
        <w:pStyle w:val="878"/>
        <w:ind w:right="-284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страхования на территории</w:t>
      </w:r>
      <w:r>
        <w:rPr>
          <w:sz w:val="28"/>
          <w:szCs w:val="28"/>
        </w:rPr>
      </w:r>
    </w:p>
    <w:p>
      <w:pPr>
        <w:pStyle w:val="878"/>
        <w:ind w:right="-284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</w:t>
      </w:r>
      <w:r>
        <w:rPr>
          <w:sz w:val="28"/>
          <w:szCs w:val="28"/>
        </w:rPr>
      </w:r>
    </w:p>
    <w:p>
      <w:pPr>
        <w:pStyle w:val="878"/>
        <w:ind w:right="-284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от 26 марта 2026 года</w:t>
      </w:r>
      <w:r>
        <w:rPr>
          <w:sz w:val="28"/>
          <w:szCs w:val="28"/>
        </w:rPr>
      </w:r>
    </w:p>
    <w:p>
      <w:pPr>
        <w:pStyle w:val="878"/>
        <w:ind w:right="-143"/>
        <w:jc w:val="both"/>
      </w:pPr>
      <w:r/>
      <w:r/>
    </w:p>
    <w:p>
      <w:pPr>
        <w:pStyle w:val="879"/>
        <w:ind w:right="-143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/>
      <w:bookmarkStart w:id="0" w:name="P11469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ТАРИФЫ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9"/>
        <w:ind w:right="-143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ОПЛАТУ КОМПЛЕКСНЫХ ПОСЕЩЕНИЙ ДЛЯ ПРОВЕДЕНИЯ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9"/>
        <w:ind w:right="-143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ДИСПАНСЕРНОГО НАБЛЮДЕНИЯ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8"/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(рублей)</w:t>
      </w:r>
      <w:r>
        <w:rPr>
          <w:sz w:val="28"/>
          <w:szCs w:val="28"/>
        </w:rPr>
      </w:r>
    </w:p>
    <w:tbl>
      <w:tblPr>
        <w:tblW w:w="100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24"/>
        <w:gridCol w:w="2551"/>
        <w:gridCol w:w="4617"/>
        <w:gridCol w:w="1763"/>
        <w:gridCol w:w="473"/>
      </w:tblGrid>
      <w:tr>
        <w:tblPrEx/>
        <w:trPr>
          <w:tblHeader/>
        </w:trPr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878"/>
              <w:jc w:val="center"/>
            </w:pPr>
            <w:r>
              <w:t xml:space="preserve">№ стр.</w:t>
            </w:r>
            <w:r/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pStyle w:val="878"/>
              <w:jc w:val="center"/>
            </w:pPr>
            <w:r>
              <w:t xml:space="preserve">Код услуги в системе ОМС</w:t>
            </w:r>
            <w:r/>
          </w:p>
        </w:tc>
        <w:tc>
          <w:tcPr>
            <w:tcW w:w="4617" w:type="dxa"/>
            <w:vAlign w:val="center"/>
            <w:textDirection w:val="lrTb"/>
            <w:noWrap w:val="false"/>
          </w:tcPr>
          <w:p>
            <w:pPr>
              <w:pStyle w:val="878"/>
              <w:jc w:val="center"/>
            </w:pPr>
            <w:r>
              <w:t xml:space="preserve">Наименование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vAlign w:val="center"/>
            <w:textDirection w:val="lrTb"/>
            <w:noWrap w:val="false"/>
          </w:tcPr>
          <w:p>
            <w:pPr>
              <w:pStyle w:val="878"/>
              <w:jc w:val="center"/>
              <w:rPr>
                <w:szCs w:val="24"/>
              </w:rPr>
            </w:pPr>
            <w:r>
              <w:rPr>
                <w:rFonts w:eastAsia="Times New Roman"/>
                <w:szCs w:val="24"/>
              </w:rPr>
              <w:t xml:space="preserve">Тариф</w:t>
            </w:r>
            <w:r>
              <w:rPr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pStyle w:val="878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</w:r>
            <w:r>
              <w:rPr>
                <w:rFonts w:eastAsia="Times New Roman"/>
                <w:szCs w:val="24"/>
              </w:rPr>
            </w:r>
          </w:p>
        </w:tc>
      </w:tr>
      <w:tr>
        <w:tblPrEx/>
        <w:trPr>
          <w:tblHeader/>
        </w:trPr>
        <w:tc>
          <w:tcPr>
            <w:tcW w:w="624" w:type="dxa"/>
            <w:vMerge w:val="continue"/>
            <w:textDirection w:val="lrTb"/>
            <w:noWrap w:val="false"/>
          </w:tcPr>
          <w:p>
            <w:pPr>
              <w:pStyle w:val="878"/>
            </w:pPr>
            <w:r/>
            <w:r/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pStyle w:val="878"/>
              <w:jc w:val="center"/>
            </w:pPr>
            <w:r>
              <w:t xml:space="preserve">1</w:t>
            </w:r>
            <w:r/>
          </w:p>
        </w:tc>
        <w:tc>
          <w:tcPr>
            <w:tcW w:w="4617" w:type="dxa"/>
            <w:vAlign w:val="center"/>
            <w:textDirection w:val="lrTb"/>
            <w:noWrap w:val="false"/>
          </w:tcPr>
          <w:p>
            <w:pPr>
              <w:pStyle w:val="878"/>
              <w:jc w:val="center"/>
            </w:pPr>
            <w:r>
              <w:t xml:space="preserve">2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vAlign w:val="center"/>
            <w:textDirection w:val="lrTb"/>
            <w:noWrap w:val="false"/>
          </w:tcPr>
          <w:p>
            <w:pPr>
              <w:pStyle w:val="878"/>
              <w:jc w:val="center"/>
              <w:rPr>
                <w:szCs w:val="24"/>
              </w:rPr>
            </w:pPr>
            <w:r>
              <w:rPr>
                <w:rFonts w:eastAsia="Times New Roman"/>
                <w:szCs w:val="24"/>
              </w:rPr>
              <w:t xml:space="preserve">3</w:t>
            </w:r>
            <w:r>
              <w:rPr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pStyle w:val="878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</w:r>
            <w:r>
              <w:rPr>
                <w:rFonts w:eastAsia="Times New Roman"/>
                <w:szCs w:val="24"/>
              </w:rPr>
            </w:r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78"/>
              <w:jc w:val="center"/>
            </w:pPr>
            <w:r>
              <w:t xml:space="preserve">1.</w:t>
            </w:r>
            <w:r/>
          </w:p>
        </w:tc>
        <w:tc>
          <w:tcPr>
            <w:gridSpan w:val="2"/>
            <w:tcW w:w="7168" w:type="dxa"/>
            <w:textDirection w:val="lrTb"/>
            <w:noWrap w:val="false"/>
          </w:tcPr>
          <w:p>
            <w:pPr>
              <w:pStyle w:val="878"/>
            </w:pPr>
            <w:r>
              <w:t xml:space="preserve">Базовый норматив финансовых затрат на единицу объема предоставления медицинской помощи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pStyle w:val="878"/>
              <w:jc w:val="right"/>
              <w:rPr>
                <w:szCs w:val="24"/>
              </w:rPr>
            </w:pPr>
            <w:r>
              <w:rPr>
                <w:rFonts w:eastAsia="Times New Roman"/>
                <w:szCs w:val="24"/>
              </w:rPr>
              <w:t xml:space="preserve">3119,73</w:t>
            </w:r>
            <w:r>
              <w:rPr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pStyle w:val="878"/>
              <w:jc w:val="righ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</w:r>
            <w:r>
              <w:rPr>
                <w:rFonts w:eastAsia="Times New Roman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B04.001.001.001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 - акушера-гинеколога (взрослые)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1495,40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3.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B04.001.003.001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 - акушера-гинеколога на дому (взрослые)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1495,40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4.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B04.007.001.001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врача-гериатра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1071,24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5.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B04.007.002.001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врача-гериатра на дому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1071,24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6.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B04.008.001.001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</w:t>
            </w:r>
            <w:r>
              <w:t xml:space="preserve">дерматовенеролога</w:t>
            </w:r>
            <w:r>
              <w:t xml:space="preserve"> (взрослые)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920,21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7.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B04.008.003.001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</w:t>
            </w:r>
            <w:r>
              <w:t xml:space="preserve">дерматовенеролога</w:t>
            </w:r>
            <w:r>
              <w:t xml:space="preserve"> на дому (взрослые)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920,21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8.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B04.014.001.001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врача-инфекциониста (взрослые)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1608,23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9.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B04.014.003.001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врача-инфекциониста на дому (взрослые)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1608,23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10.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B04.015.001.001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врача-кардиолога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1219,76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11.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B04.015.003.001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врача-кардиолога на дому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1219,76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12.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B04.023.001.001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врача-невролога (взрослые)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1270,85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13.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B04.023.003.001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врача-невролога на дому (взрослые)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1270,85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14.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B04.026.001.001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 общей практики (взрослые) на дому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1071,24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15.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B04.026.003.001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 общей практики (взрослые)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1071,24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16.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B04.027.001.001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врача-онколога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1141,25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17.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B04.027.017.001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врача-онколога ЦАОП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1141,25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18.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B04.028.001.001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</w:t>
            </w:r>
            <w:r>
              <w:t xml:space="preserve">оториноларинголога</w:t>
            </w:r>
            <w:r>
              <w:t xml:space="preserve"> (взрослые)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889,39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19.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B04.028.003.001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</w:t>
            </w:r>
            <w:r>
              <w:t xml:space="preserve">оториноларинголога</w:t>
            </w:r>
            <w:r>
              <w:t xml:space="preserve"> на дому (взрослые)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889,39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20.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B04.029.001.001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врача-офтальмолога (взрослые)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762,41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21.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B04.029.003.001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врача-офтальмолога на дому (взрослые)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762,41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22.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B04.047.001.001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Диспансерные посещение (осмотр, консультация) врача-терапевта участкового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1071,24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23.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B04.047.003.001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врача-терапевта участкового на дому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1071,24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24.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B04.047.009.001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врача-терапевта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1071,24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25.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B04.047.011.001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врача-терапевта на дому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1071,24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26.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B04.047.013.001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Диспансерные посещение (осмотр, консультация) врача-терапевта цехового врачебного участка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1071,24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27.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B04.047.015.001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врача-терапевта кабинетов, отделений медицинской профилактики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1071,24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28.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B04.047.017.001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врача-терапевта кабинетов, отделений медицинской профилактики на дому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1071,24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29.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B04.050.001.001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 - травматолога-ортопеда (взрослые)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1141,25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30.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B04.050.003.001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 - травматолога-ортопеда на дому (взрослые)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1141,25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31.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B04.050.005.001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 - травматолога-ортопеда </w:t>
            </w:r>
            <w:r>
              <w:t xml:space="preserve">травмпункта</w:t>
            </w:r>
            <w:r>
              <w:t xml:space="preserve"> (взрослые)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1141,25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32.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B04.050.007.001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 - травматолога-ортопеда </w:t>
            </w:r>
            <w:r>
              <w:t xml:space="preserve">травмпункта</w:t>
            </w:r>
            <w:r>
              <w:t xml:space="preserve"> на дому (взрослые)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1141,25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33.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B04.053.001.001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врача-уролога (взрослые)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923,46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34.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B04.053.003.001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врача-уролога на дому (взрослые)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923,46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35.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B04.057.001.001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врача-хирурга (взрослые)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1141,25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36.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B04.057.003.001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врача-хирурга на дому (взрослые)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1141,25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37.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B04.058.001.001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врача-эндокринолога (взрослые)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2203,84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38.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B04.058.003.001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врача-эндокринолога на дому (взрослые)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2203,84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39.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B04.069.001.001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среднего медицинского персонала, ведущего самостоятельный прием (фельдшера) (взрослые)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529,60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40.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B04.069.002.001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среднего медицинского персонала, ведущего самостоятельный прием (акушерки) (взрослые)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739,30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41.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B04.069.005.001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среднего медицинского персонала, ведущего самостоятельный прием (фельдшера) на дому (взрослые)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529,60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42.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B04.069.006.001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среднего медицинского персонала, ведущего самостоятельный прием (акушерки) на дому (взрослые)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739,30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43.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B04.069.009.001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среднего медицинского персонала, ведущего самостоятельный прием (фельдшера с возложением отдельных функций врача) (взрослые)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529,60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44.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B04.069.010.001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среднего медицинского персонала, ведущего самостоятельны</w:t>
            </w:r>
            <w:r>
              <w:t xml:space="preserve">й прием (акушерки с возложением отдельных функций врача) (взрослые)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739,30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45.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B04.069.013.001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среднего медицинского персонала, ведущего самостоятельный прием (фельдшер с возложением отдельных функций врача) на дому (взрослые)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529,60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46.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B04.069.014.001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среднего медицинского персонала, ведущего </w:t>
            </w:r>
            <w:r>
              <w:t xml:space="preserve">самостоятельный прием (акушерки с возложением отдельных функций врача) на дому (взрослые)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739,30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47.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B04.071.003.001.001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работающих граждан (взрослые)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1071,16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48.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B04.027.001.001.001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врача-онколога по поводу онкологических заболеваний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4430,35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49.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B04.027.017.001.001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врача-онколога ЦАОП по поводу онкологических заболеваний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4430,35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50.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B04.069.001.001.001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среднего медицинского персонала, ведущего самостоятельный прием (фельдшера) (взрослые) по поводу онкологических заболеваний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2082,30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51.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B04.069.005.001.002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среднего медицинского персонала, ведущего самостоятельный прием (фельдшера) на дому (взрослые) по поводу онкологических заболеваний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2082,30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52.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B04.069.009.001.001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среднего медицинского персонала, ведущего самостоятельный прием (фельдшера с возложением отдельных функций врача) (взрослые) по поводу онкологических заболеваний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2082,30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53.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B04.069.013.001.002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среднего медиц</w:t>
            </w:r>
            <w:r>
              <w:t xml:space="preserve">инского персонала, ведущего самостоятельный прием (фельдшер с возложением отдельных функций врача) на дому (взрослые) по поводу онкологических заболеваний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2082,30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54.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B04.026.001.002.002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 общей практики (взрослые) на дому по поводу онкологических заболеваний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4158,58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55.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B04.026.003.002.001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</w:t>
            </w:r>
            <w:r>
              <w:t xml:space="preserve">консультация) врача общей практики (взрослые) по поводу онкологических заболеваний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4158,58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56.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B04.047.001.002.001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Диспансерные посещение (осмотр, консультация) врача-терапевта участкового по поводу онкологических заболева</w:t>
            </w:r>
            <w:r>
              <w:t xml:space="preserve">ний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4158,58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57.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B04.047.003.002.002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врача-терапевта участкового на дому по поводу онкологических заболеваний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4158,58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58.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B04.047.009.002.001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врача-терапевта по поводу онкологических заболеваний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4158,58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59.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B04.047.011.002.002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врача-терапевта на дому по поводу онкологических заболеваний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4158,58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60.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B04.047.013.002.001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Диспансерные посещение (осмотр, консультация) врача-терапевта цехового врачебного участка по поводу онкологических заболеваний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4158,58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61.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B04.047.015.002.001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врача-терапевта кабинетов, отделений медицинской профилактики по поводу онкологических заболеваний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4158,58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62.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B04.047.017.001.002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врача-терапевта кабинетов, отде</w:t>
            </w:r>
            <w:r>
              <w:t xml:space="preserve">лений медицинской профилактики на дому по поводу онкологических заболеваний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4158,58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63.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B04.071.003.001.002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работающих граждан (взрослые) по поводу онкологических заболеваний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4359,91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64.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B04.026.001.001.002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 общей практики (взрослые) на дому по поводу болезней системы кровообращения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3716,24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65.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B04.026.003.001.001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 общей практики </w:t>
            </w:r>
            <w:r>
              <w:t xml:space="preserve">(взрослые) по поводу болезней системы кровообращения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3716,24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66.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B04.047.001.001.001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Диспансерные посещение (осмотр, консультация) врача-терапевта участкового по поводу болезней системы кровообращения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3716,24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67.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B04.047.003.001.002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врача-терапевта участкового на дому по поводу болезней системы кровообращения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3716,24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68.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B04.047.009.001.001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врача-терапевта по поводу болезней системы кровообра</w:t>
            </w:r>
            <w:r>
              <w:t xml:space="preserve">щения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3716,24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69.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B04.047.011.001.002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врача-терапевта на дому по поводу болезней системы кровообращения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3716,24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70.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B04.047.013.001.001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Диспансерные посещение (осмотр, консультация) врача-терапевта цехового врачебного участка по поводу болезней системы кровообращения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3716,24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71.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B04.047.015.001.001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врача-терапевта кабинетов, отделений медицин</w:t>
            </w:r>
            <w:r>
              <w:t xml:space="preserve">ской профилактики по поводу болезней системы кровообращения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3716,24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72.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B04.047.017.002.002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врача-терапевта кабинетов, отделений медицинской профилактики на дому по поводу болезней системы кровообращения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3716,24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73.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B04.015.001.001.001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врача-кардиолога по поводу болезней системы кровообращения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4231,48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74.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B04.015.003.001.002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врача-кардиолога на дому по поводу болезней системы кровообращения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4231,48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75.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B04.069.001.003.001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среднего медицинского персонала, ведущего самостоятельный прием (фельдшера) </w:t>
            </w:r>
            <w:r>
              <w:t xml:space="preserve">(взрослые) по поводу болезней системы кровообращения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1859,62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76.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B04.069.005.003.002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среднего медицинского персонала, ведущего самостоятельный прием (фельдшера) на дому (взрослые) по поводу болезней системы кровообращения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1859,62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77.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B04.069.009.003.001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среднего медицинского персонала, ведущего самостоятельный прием (фельдшера с возложением отдельных функций врача) (взрослые) по поводу болезней системы кровообращения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1859,62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78.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B04.069.013.003.002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среднего медицинского персонала, ведущего самостоятельный прием (фельдшер с возложением отдельных функций врача) на дому (взрослые) по поводу болезней системы кровообращения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1859,62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79.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B04.071.003.001.003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работающих граждан (взрослые) по поводу болезней системы кровообращения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3644,89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80.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B04.058.001.001.001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врача-эндокринолога (взрослые) по поводу сахарного диабета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2742,41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81.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B04.058.003.001.002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врача-эндокринолога на дому (взрослые) по поводу сахарного диабета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2742,41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82.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B04.069.001.002.001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среднего медицинского персонала, ведущего самостоятельный прием (фельдшера) (взрослые) по поводу сахарного диабета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668,02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83.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B04.069.005.002.002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среднего медицинского персонала, ведущего самостоятельный прие</w:t>
            </w:r>
            <w:r>
              <w:t xml:space="preserve">м (фельдшера) на дому (взрослые) по поводу сахарного диабета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668,02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84.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B04.069.009.002.001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среднего медицинского персонала, ведущего самостоятельный прием (фельдшера с возложением отдельных функций врача) (взрослые) по поводу сахарного диабета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668,02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85.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B04.069.013.002.002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среднего медицинского персонала, ведущего самостоятельный прием (фельдшер с возложением отдельных функций врача) на дому (взрослые) по поводу сахарного диабета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668,02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86.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B04.026.001.003.002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</w:t>
            </w:r>
            <w:r>
              <w:t xml:space="preserve">ация) врача общей практики (взрослые) на дому по поводу сахарного диабета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1333,03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87.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B04.026.003.003.001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 общей практики (взрослые) по поводу сахарного диабета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1333,03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88.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B04.047.001.003.001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Диспансерные посещение (осмотр, консультация) врача-терапевта участкового по поводу сахарного диабета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1333,03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89.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B04.047.003.003.002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врача-терапевта участкового на дому по поводу сахарного диабета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1333,03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90.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B04.047.009.003.001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врача-терапевта по поводу сахарного диабета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1333,03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91.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B04.047.011.003.002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врача-терапевта на дому по поводу сахарного диабета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1333,03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92.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B04.047.013.003.001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Диспансерные посещение (осмотр, консультация) врача-терапевта цехового врачебного участка по поводу сахарного диабета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1333,03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93.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B04.047.015.003.001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врача-терапевта кабинетов, отделений медицинской профилактики по поводу сахарного диабета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1333,03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94.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B04.047.017.003.002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</w:t>
            </w:r>
            <w:r>
              <w:t xml:space="preserve">консультация) врача-терапевта кабинетов, отделений медицинской профилактики на дому по поводу сахарного диабета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1333,03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95.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B04.071.003.001.004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работающих граждан (взрослые) по</w:t>
            </w:r>
            <w:r>
              <w:t xml:space="preserve"> поводу сахарного диабета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2052,11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96.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B04.031.017.003.102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врача-педиатра детей, проживающих в организациях социального обслуживания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1615,49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97.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B04.031.017.103.102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 участкового педиатра детей, проживающих в организациях социального обслуживания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1615,49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98.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B04.050.017.003.102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врача-травматолога-ортопеда детей, проживающ</w:t>
            </w:r>
            <w:r>
              <w:t xml:space="preserve">их в организациях социального обслуживания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1141,25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99.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B04.040.017.003.102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врача-ревматолога детей, проживающих в организациях социального обслуживания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1219,76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100.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B04.029.017.003.102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врача-офтальмолога детей, проживающих в организациях социального обслуживания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762,41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101.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B04.004.017.003.102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врача-гастроэнтеролога детей, проживающих в организа</w:t>
            </w:r>
            <w:r>
              <w:t xml:space="preserve">циях социального обслуживания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1615,49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102.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B04.015.017.003.102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врача-детского кардиолога детей, проживающих в организациях социального обслуживания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1219,76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103.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B04.011.017.003.102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(осмотр, консультация) врача-детского эндокринолога детей, проживающих в организациях социального обслуживания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2203,84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104.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78"/>
            </w:pPr>
            <w:r>
              <w:t xml:space="preserve">B04.069.017.003.102</w:t>
            </w:r>
            <w:r/>
          </w:p>
        </w:tc>
        <w:tc>
          <w:tcPr>
            <w:tcW w:w="4617" w:type="dxa"/>
            <w:textDirection w:val="lrTb"/>
            <w:noWrap w:val="false"/>
          </w:tcPr>
          <w:p>
            <w:pPr>
              <w:pStyle w:val="878"/>
            </w:pPr>
            <w:r>
              <w:t xml:space="preserve">Диспансерное посещение среднего медицинского персонала, ведущего самостоятельный прием (фельдшер с возложением отдельных функций врача) детей, проживающих в организациях социального обслуживания</w:t>
            </w:r>
            <w:r/>
          </w:p>
        </w:tc>
        <w:tc>
          <w:tcPr>
            <w:tcBorders>
              <w:right w:val="single" w:color="auto" w:sz="4" w:space="0"/>
            </w:tcBorders>
            <w:tcW w:w="1763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798,67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73" w:type="dxa"/>
            <w:textDirection w:val="lrTb"/>
            <w:noWrap w:val="false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r/>
      <w:r/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vertAlign w:val="superscript"/>
        </w:rPr>
        <w:t xml:space="preserve">1</w:t>
      </w:r>
      <w:r>
        <w:t xml:space="preserve"> </w:t>
      </w:r>
      <w:r>
        <w:rPr>
          <w:rFonts w:ascii="Times New Roman" w:hAnsi="Times New Roman" w:cs="Times New Roman"/>
          <w:sz w:val="24"/>
        </w:rPr>
        <w:t xml:space="preserve">Оплата случаев диспансерного наблюдения осуществляется за комплексное посещение, включающее стоимость посещения врача, проводящего диспансерное наблюдение, а также усредненную стоимость лабораторных и диагностических исследований. При планировании объемов </w:t>
      </w:r>
      <w:r>
        <w:rPr>
          <w:rFonts w:ascii="Times New Roman" w:hAnsi="Times New Roman" w:cs="Times New Roman"/>
          <w:sz w:val="24"/>
        </w:rPr>
        <w:t xml:space="preserve">медицинской помощи следует руководствоваться приказами Министерства здравоохранения Российской Федерации от 15.03.2022 № 168н «Об утверждении порядка проведения диспансерного наблюдения за взрослыми», от 04.06.2020 № 548н «Об утверждении порядка диспансерн</w:t>
      </w:r>
      <w:r>
        <w:rPr>
          <w:rFonts w:ascii="Times New Roman" w:hAnsi="Times New Roman" w:cs="Times New Roman"/>
          <w:sz w:val="24"/>
        </w:rPr>
        <w:t xml:space="preserve">ого наблюдения за взрослыми с онкологическими заболеваниями», от 11.04.2025 № 192н «Об утверждении Порядка прохождения несовершеннолетними диспансерного наблюдения, в том числе в период обучения и воспитания в образовательных организациях». Набор необходим</w:t>
      </w:r>
      <w:r>
        <w:rPr>
          <w:rFonts w:ascii="Times New Roman" w:hAnsi="Times New Roman" w:cs="Times New Roman"/>
          <w:sz w:val="24"/>
        </w:rPr>
        <w:t xml:space="preserve">ых диагностических услуг и консультаций врачей-специалистов определяется лечащим врачом с учетом профиля заболевания пациента и его состояния.</w:t>
      </w:r>
      <w:bookmarkStart w:id="1" w:name="_GoBack"/>
      <w:r/>
      <w:bookmarkEnd w:id="1"/>
      <w:r/>
      <w:r>
        <w:rPr>
          <w:rFonts w:ascii="Times New Roman" w:hAnsi="Times New Roman" w:cs="Times New Roman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707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559822602"/>
      <w:docPartObj>
        <w:docPartGallery w:val="Page Numbers (Top of Page)"/>
        <w:docPartUnique w:val="true"/>
      </w:docPartObj>
      <w:rPr/>
    </w:sdtPr>
    <w:sdtContent>
      <w:p>
        <w:pPr>
          <w:pStyle w:val="728"/>
          <w:jc w:val="center"/>
          <w:rPr>
            <w:rFonts w:ascii="Times New Roman" w:hAnsi="Times New Roman" w:cs="Times New Roman"/>
            <w:sz w:val="28"/>
            <w:szCs w:val="24"/>
          </w:rPr>
        </w:pPr>
        <w:r>
          <w:rPr>
            <w:rFonts w:ascii="Times New Roman" w:hAnsi="Times New Roman" w:cs="Times New Roman"/>
            <w:sz w:val="28"/>
            <w:szCs w:val="24"/>
          </w:rPr>
          <w:fldChar w:fldCharType="begin"/>
        </w:r>
        <w:r>
          <w:rPr>
            <w:rFonts w:ascii="Times New Roman" w:hAnsi="Times New Roman" w:cs="Times New Roman"/>
            <w:sz w:val="28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4"/>
          </w:rPr>
          <w:fldChar w:fldCharType="separate"/>
        </w:r>
        <w:r>
          <w:rPr>
            <w:rFonts w:ascii="Times New Roman" w:hAnsi="Times New Roman" w:cs="Times New Roman"/>
            <w:sz w:val="28"/>
            <w:szCs w:val="24"/>
          </w:rPr>
          <w:t xml:space="preserve">10</w:t>
        </w:r>
        <w:r>
          <w:rPr>
            <w:rFonts w:ascii="Times New Roman" w:hAnsi="Times New Roman" w:cs="Times New Roman"/>
            <w:sz w:val="28"/>
            <w:szCs w:val="24"/>
          </w:rPr>
          <w:fldChar w:fldCharType="end"/>
        </w:r>
        <w:r>
          <w:rPr>
            <w:rFonts w:ascii="Times New Roman" w:hAnsi="Times New Roman" w:cs="Times New Roman"/>
            <w:sz w:val="28"/>
            <w:szCs w:val="24"/>
          </w:rPr>
        </w:r>
      </w:p>
    </w:sdtContent>
  </w:sdt>
  <w:p>
    <w:pPr>
      <w:pStyle w:val="728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8" w:default="1">
    <w:name w:val="Normal"/>
    <w:qFormat/>
    <w:pPr>
      <w:spacing w:after="0" w:line="240" w:lineRule="auto"/>
    </w:pPr>
    <w:rPr>
      <w:rFonts w:eastAsiaTheme="minorEastAsia"/>
      <w:lang w:eastAsia="ru-RU"/>
    </w:rPr>
  </w:style>
  <w:style w:type="paragraph" w:styleId="679">
    <w:name w:val="Heading 1"/>
    <w:basedOn w:val="678"/>
    <w:next w:val="678"/>
    <w:link w:val="70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80">
    <w:name w:val="Heading 2"/>
    <w:basedOn w:val="678"/>
    <w:next w:val="678"/>
    <w:link w:val="71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81">
    <w:name w:val="Heading 3"/>
    <w:basedOn w:val="678"/>
    <w:next w:val="678"/>
    <w:link w:val="71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82">
    <w:name w:val="Heading 4"/>
    <w:basedOn w:val="678"/>
    <w:next w:val="678"/>
    <w:link w:val="71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3">
    <w:name w:val="Heading 5"/>
    <w:basedOn w:val="678"/>
    <w:next w:val="678"/>
    <w:link w:val="71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4">
    <w:name w:val="Heading 6"/>
    <w:basedOn w:val="678"/>
    <w:next w:val="678"/>
    <w:link w:val="71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85">
    <w:name w:val="Heading 7"/>
    <w:basedOn w:val="678"/>
    <w:next w:val="678"/>
    <w:link w:val="71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86">
    <w:name w:val="Heading 8"/>
    <w:basedOn w:val="678"/>
    <w:next w:val="678"/>
    <w:link w:val="71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87">
    <w:name w:val="Heading 9"/>
    <w:basedOn w:val="678"/>
    <w:next w:val="678"/>
    <w:link w:val="71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8" w:default="1">
    <w:name w:val="Default Paragraph Font"/>
    <w:uiPriority w:val="1"/>
    <w:semiHidden/>
    <w:unhideWhenUsed/>
  </w:style>
  <w:style w:type="table" w:styleId="68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0" w:default="1">
    <w:name w:val="No List"/>
    <w:uiPriority w:val="99"/>
    <w:semiHidden/>
    <w:unhideWhenUsed/>
  </w:style>
  <w:style w:type="character" w:styleId="691" w:customStyle="1">
    <w:name w:val="Heading 1 Char"/>
    <w:basedOn w:val="688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92" w:customStyle="1">
    <w:name w:val="Heading 2 Char"/>
    <w:basedOn w:val="688"/>
    <w:uiPriority w:val="9"/>
    <w:rPr>
      <w:rFonts w:ascii="Liberation Sans" w:hAnsi="Liberation Sans" w:eastAsia="Liberation Sans" w:cs="Liberation Sans"/>
      <w:sz w:val="34"/>
    </w:rPr>
  </w:style>
  <w:style w:type="character" w:styleId="693" w:customStyle="1">
    <w:name w:val="Heading 3 Char"/>
    <w:basedOn w:val="688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94" w:customStyle="1">
    <w:name w:val="Heading 4 Char"/>
    <w:basedOn w:val="68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95" w:customStyle="1">
    <w:name w:val="Heading 5 Char"/>
    <w:basedOn w:val="68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96" w:customStyle="1">
    <w:name w:val="Heading 6 Char"/>
    <w:basedOn w:val="68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97" w:customStyle="1">
    <w:name w:val="Heading 7 Char"/>
    <w:basedOn w:val="68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98" w:customStyle="1">
    <w:name w:val="Heading 8 Char"/>
    <w:basedOn w:val="68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99" w:customStyle="1">
    <w:name w:val="Heading 9 Char"/>
    <w:basedOn w:val="68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0" w:customStyle="1">
    <w:name w:val="Title Char"/>
    <w:basedOn w:val="688"/>
    <w:uiPriority w:val="10"/>
    <w:rPr>
      <w:sz w:val="48"/>
      <w:szCs w:val="48"/>
    </w:rPr>
  </w:style>
  <w:style w:type="character" w:styleId="701" w:customStyle="1">
    <w:name w:val="Subtitle Char"/>
    <w:basedOn w:val="688"/>
    <w:uiPriority w:val="11"/>
    <w:rPr>
      <w:sz w:val="24"/>
      <w:szCs w:val="24"/>
    </w:rPr>
  </w:style>
  <w:style w:type="character" w:styleId="702" w:customStyle="1">
    <w:name w:val="Quote Char"/>
    <w:uiPriority w:val="29"/>
    <w:rPr>
      <w:i/>
    </w:rPr>
  </w:style>
  <w:style w:type="character" w:styleId="703" w:customStyle="1">
    <w:name w:val="Intense Quote Char"/>
    <w:uiPriority w:val="30"/>
    <w:rPr>
      <w:i/>
    </w:rPr>
  </w:style>
  <w:style w:type="character" w:styleId="704" w:customStyle="1">
    <w:name w:val="Header Char"/>
    <w:basedOn w:val="688"/>
    <w:uiPriority w:val="99"/>
  </w:style>
  <w:style w:type="character" w:styleId="705" w:customStyle="1">
    <w:name w:val="Footer Char"/>
    <w:basedOn w:val="688"/>
    <w:uiPriority w:val="99"/>
  </w:style>
  <w:style w:type="character" w:styleId="706" w:customStyle="1">
    <w:name w:val="Caption Char"/>
    <w:basedOn w:val="688"/>
    <w:uiPriority w:val="35"/>
    <w:rPr>
      <w:b/>
      <w:bCs/>
      <w:color w:val="5b9bd5" w:themeColor="accent1"/>
      <w:sz w:val="18"/>
      <w:szCs w:val="18"/>
    </w:rPr>
  </w:style>
  <w:style w:type="character" w:styleId="707" w:customStyle="1">
    <w:name w:val="Footnote Text Char"/>
    <w:uiPriority w:val="99"/>
    <w:rPr>
      <w:sz w:val="18"/>
    </w:rPr>
  </w:style>
  <w:style w:type="character" w:styleId="708" w:customStyle="1">
    <w:name w:val="Endnote Text Char"/>
    <w:uiPriority w:val="99"/>
    <w:rPr>
      <w:sz w:val="20"/>
    </w:rPr>
  </w:style>
  <w:style w:type="character" w:styleId="709" w:customStyle="1">
    <w:name w:val="Заголовок 1 Знак"/>
    <w:basedOn w:val="688"/>
    <w:link w:val="679"/>
    <w:uiPriority w:val="9"/>
    <w:rPr>
      <w:rFonts w:ascii="Arial" w:hAnsi="Arial" w:eastAsia="Arial" w:cs="Arial"/>
      <w:sz w:val="40"/>
      <w:szCs w:val="40"/>
    </w:rPr>
  </w:style>
  <w:style w:type="character" w:styleId="710" w:customStyle="1">
    <w:name w:val="Заголовок 2 Знак"/>
    <w:basedOn w:val="688"/>
    <w:link w:val="680"/>
    <w:uiPriority w:val="9"/>
    <w:rPr>
      <w:rFonts w:ascii="Arial" w:hAnsi="Arial" w:eastAsia="Arial" w:cs="Arial"/>
      <w:sz w:val="34"/>
    </w:rPr>
  </w:style>
  <w:style w:type="character" w:styleId="711" w:customStyle="1">
    <w:name w:val="Заголовок 3 Знак"/>
    <w:basedOn w:val="688"/>
    <w:link w:val="681"/>
    <w:uiPriority w:val="9"/>
    <w:rPr>
      <w:rFonts w:ascii="Arial" w:hAnsi="Arial" w:eastAsia="Arial" w:cs="Arial"/>
      <w:sz w:val="30"/>
      <w:szCs w:val="30"/>
    </w:rPr>
  </w:style>
  <w:style w:type="character" w:styleId="712" w:customStyle="1">
    <w:name w:val="Заголовок 4 Знак"/>
    <w:basedOn w:val="688"/>
    <w:link w:val="682"/>
    <w:uiPriority w:val="9"/>
    <w:rPr>
      <w:rFonts w:ascii="Arial" w:hAnsi="Arial" w:eastAsia="Arial" w:cs="Arial"/>
      <w:b/>
      <w:bCs/>
      <w:sz w:val="26"/>
      <w:szCs w:val="26"/>
    </w:rPr>
  </w:style>
  <w:style w:type="character" w:styleId="713" w:customStyle="1">
    <w:name w:val="Заголовок 5 Знак"/>
    <w:basedOn w:val="688"/>
    <w:link w:val="683"/>
    <w:uiPriority w:val="9"/>
    <w:rPr>
      <w:rFonts w:ascii="Arial" w:hAnsi="Arial" w:eastAsia="Arial" w:cs="Arial"/>
      <w:b/>
      <w:bCs/>
      <w:sz w:val="24"/>
      <w:szCs w:val="24"/>
    </w:rPr>
  </w:style>
  <w:style w:type="character" w:styleId="714" w:customStyle="1">
    <w:name w:val="Заголовок 6 Знак"/>
    <w:basedOn w:val="688"/>
    <w:link w:val="684"/>
    <w:uiPriority w:val="9"/>
    <w:rPr>
      <w:rFonts w:ascii="Arial" w:hAnsi="Arial" w:eastAsia="Arial" w:cs="Arial"/>
      <w:b/>
      <w:bCs/>
      <w:sz w:val="22"/>
      <w:szCs w:val="22"/>
    </w:rPr>
  </w:style>
  <w:style w:type="character" w:styleId="715" w:customStyle="1">
    <w:name w:val="Заголовок 7 Знак"/>
    <w:basedOn w:val="688"/>
    <w:link w:val="68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6" w:customStyle="1">
    <w:name w:val="Заголовок 8 Знак"/>
    <w:basedOn w:val="688"/>
    <w:link w:val="686"/>
    <w:uiPriority w:val="9"/>
    <w:rPr>
      <w:rFonts w:ascii="Arial" w:hAnsi="Arial" w:eastAsia="Arial" w:cs="Arial"/>
      <w:i/>
      <w:iCs/>
      <w:sz w:val="22"/>
      <w:szCs w:val="22"/>
    </w:rPr>
  </w:style>
  <w:style w:type="character" w:styleId="717" w:customStyle="1">
    <w:name w:val="Заголовок 9 Знак"/>
    <w:basedOn w:val="688"/>
    <w:link w:val="687"/>
    <w:uiPriority w:val="9"/>
    <w:rPr>
      <w:rFonts w:ascii="Arial" w:hAnsi="Arial" w:eastAsia="Arial" w:cs="Arial"/>
      <w:i/>
      <w:iCs/>
      <w:sz w:val="21"/>
      <w:szCs w:val="21"/>
    </w:rPr>
  </w:style>
  <w:style w:type="paragraph" w:styleId="718">
    <w:name w:val="List Paragraph"/>
    <w:basedOn w:val="678"/>
    <w:uiPriority w:val="34"/>
    <w:qFormat/>
    <w:pPr>
      <w:contextualSpacing/>
      <w:ind w:left="720"/>
    </w:pPr>
  </w:style>
  <w:style w:type="paragraph" w:styleId="719">
    <w:name w:val="No Spacing"/>
    <w:uiPriority w:val="1"/>
    <w:qFormat/>
    <w:pPr>
      <w:spacing w:after="0" w:line="240" w:lineRule="auto"/>
    </w:pPr>
  </w:style>
  <w:style w:type="paragraph" w:styleId="720">
    <w:name w:val="Title"/>
    <w:basedOn w:val="678"/>
    <w:next w:val="678"/>
    <w:link w:val="72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1" w:customStyle="1">
    <w:name w:val="Название Знак"/>
    <w:basedOn w:val="688"/>
    <w:link w:val="720"/>
    <w:uiPriority w:val="10"/>
    <w:rPr>
      <w:sz w:val="48"/>
      <w:szCs w:val="48"/>
    </w:rPr>
  </w:style>
  <w:style w:type="paragraph" w:styleId="722">
    <w:name w:val="Subtitle"/>
    <w:basedOn w:val="678"/>
    <w:next w:val="678"/>
    <w:link w:val="723"/>
    <w:uiPriority w:val="11"/>
    <w:qFormat/>
    <w:pPr>
      <w:spacing w:before="200" w:after="200"/>
    </w:pPr>
    <w:rPr>
      <w:sz w:val="24"/>
      <w:szCs w:val="24"/>
    </w:rPr>
  </w:style>
  <w:style w:type="character" w:styleId="723" w:customStyle="1">
    <w:name w:val="Подзаголовок Знак"/>
    <w:basedOn w:val="688"/>
    <w:link w:val="722"/>
    <w:uiPriority w:val="11"/>
    <w:rPr>
      <w:sz w:val="24"/>
      <w:szCs w:val="24"/>
    </w:rPr>
  </w:style>
  <w:style w:type="paragraph" w:styleId="724">
    <w:name w:val="Quote"/>
    <w:basedOn w:val="678"/>
    <w:next w:val="678"/>
    <w:link w:val="725"/>
    <w:uiPriority w:val="29"/>
    <w:qFormat/>
    <w:pPr>
      <w:ind w:left="720" w:right="720"/>
    </w:pPr>
    <w:rPr>
      <w:i/>
    </w:rPr>
  </w:style>
  <w:style w:type="character" w:styleId="725" w:customStyle="1">
    <w:name w:val="Цитата 2 Знак"/>
    <w:link w:val="724"/>
    <w:uiPriority w:val="29"/>
    <w:rPr>
      <w:i/>
    </w:rPr>
  </w:style>
  <w:style w:type="paragraph" w:styleId="726">
    <w:name w:val="Intense Quote"/>
    <w:basedOn w:val="678"/>
    <w:next w:val="678"/>
    <w:link w:val="72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7" w:customStyle="1">
    <w:name w:val="Выделенная цитата Знак"/>
    <w:link w:val="726"/>
    <w:uiPriority w:val="30"/>
    <w:rPr>
      <w:i/>
    </w:rPr>
  </w:style>
  <w:style w:type="paragraph" w:styleId="728">
    <w:name w:val="Header"/>
    <w:basedOn w:val="678"/>
    <w:link w:val="729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29" w:customStyle="1">
    <w:name w:val="Верхний колонтитул Знак"/>
    <w:basedOn w:val="688"/>
    <w:link w:val="728"/>
    <w:uiPriority w:val="99"/>
  </w:style>
  <w:style w:type="paragraph" w:styleId="730">
    <w:name w:val="Footer"/>
    <w:basedOn w:val="678"/>
    <w:link w:val="731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31" w:customStyle="1">
    <w:name w:val="Нижний колонтитул Знак"/>
    <w:basedOn w:val="688"/>
    <w:link w:val="730"/>
    <w:uiPriority w:val="99"/>
  </w:style>
  <w:style w:type="paragraph" w:styleId="732">
    <w:name w:val="Caption"/>
    <w:basedOn w:val="678"/>
    <w:next w:val="678"/>
    <w:link w:val="733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33" w:customStyle="1">
    <w:name w:val="Название объекта Знак"/>
    <w:basedOn w:val="688"/>
    <w:link w:val="732"/>
    <w:uiPriority w:val="35"/>
    <w:rPr>
      <w:b/>
      <w:bCs/>
      <w:color w:val="5b9bd5" w:themeColor="accent1"/>
      <w:sz w:val="18"/>
      <w:szCs w:val="18"/>
    </w:rPr>
  </w:style>
  <w:style w:type="table" w:styleId="734">
    <w:name w:val="Table Grid"/>
    <w:basedOn w:val="689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35" w:customStyle="1">
    <w:name w:val="Table Grid Light"/>
    <w:basedOn w:val="68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6">
    <w:name w:val="Plain Table 1"/>
    <w:basedOn w:val="68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7">
    <w:name w:val="Plain Table 2"/>
    <w:basedOn w:val="689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8">
    <w:name w:val="Plain Table 3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9">
    <w:name w:val="Plain Table 4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Plain Table 5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1">
    <w:name w:val="Grid Table 1 Light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1 Light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Grid Table 1 Light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Grid Table 1 Light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 w:customStyle="1">
    <w:name w:val="Grid Table 1 Light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2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2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2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3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3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3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4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3" w:customStyle="1">
    <w:name w:val="Grid Table 4 - Accent 1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64" w:customStyle="1">
    <w:name w:val="Grid Table 4 - Accent 2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65" w:customStyle="1">
    <w:name w:val="Grid Table 4 - Accent 3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66" w:customStyle="1">
    <w:name w:val="Grid Table 4 - Accent 4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7" w:customStyle="1">
    <w:name w:val="Grid Table 4 - Accent 5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68" w:customStyle="1">
    <w:name w:val="Grid Table 4 - Accent 6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9">
    <w:name w:val="Grid Table 5 Dark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5 Dark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73" w:customStyle="1">
    <w:name w:val="Grid Table 5 Dark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74" w:customStyle="1">
    <w:name w:val="Grid Table 5 Dark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75" w:customStyle="1">
    <w:name w:val="Grid Table 5 Dark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76">
    <w:name w:val="Grid Table 6 Colorful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7" w:customStyle="1">
    <w:name w:val="Grid Table 6 Colorful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78" w:customStyle="1">
    <w:name w:val="Grid Table 6 Colorful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9" w:customStyle="1">
    <w:name w:val="Grid Table 6 Colorful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80" w:customStyle="1">
    <w:name w:val="Grid Table 6 Colorful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81" w:customStyle="1">
    <w:name w:val="Grid Table 6 Colorful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2" w:customStyle="1">
    <w:name w:val="Grid Table 6 Colorful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3">
    <w:name w:val="Grid Table 7 Colorful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7 Colorful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7 Colorful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7 Colorful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7 Colorful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7 Colorful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7 Colorful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1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2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1 Light - Accent 3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1 Light - Accent 4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1 Light - Accent 5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List Table 1 Light - Accent 6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9" w:customStyle="1">
    <w:name w:val="List Table 2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00" w:customStyle="1">
    <w:name w:val="List Table 2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01" w:customStyle="1">
    <w:name w:val="List Table 2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02" w:customStyle="1">
    <w:name w:val="List Table 2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03" w:customStyle="1">
    <w:name w:val="List Table 2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04">
    <w:name w:val="List Table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3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3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3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3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3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4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4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4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4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4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5 Dark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 w:customStyle="1">
    <w:name w:val="List Table 5 Dark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 w:customStyle="1">
    <w:name w:val="List Table 5 Dark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1" w:customStyle="1">
    <w:name w:val="List Table 5 Dark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2" w:customStyle="1">
    <w:name w:val="List Table 5 Dark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3" w:customStyle="1">
    <w:name w:val="List Table 5 Dark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4" w:customStyle="1">
    <w:name w:val="List Table 5 Dark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5">
    <w:name w:val="List Table 6 Colorful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6" w:customStyle="1">
    <w:name w:val="List Table 6 Colorful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27" w:customStyle="1">
    <w:name w:val="List Table 6 Colorful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8" w:customStyle="1">
    <w:name w:val="List Table 6 Colorful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9" w:customStyle="1">
    <w:name w:val="List Table 6 Colorful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30" w:customStyle="1">
    <w:name w:val="List Table 6 Colorful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31" w:customStyle="1">
    <w:name w:val="List Table 6 Colorful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32">
    <w:name w:val="List Table 7 Colorful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7 Colorful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7 Colorful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7 Colorful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7 Colorful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7 Colorful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st Table 7 Colorful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Lined - Accent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0" w:customStyle="1">
    <w:name w:val="Lined - Accent 1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1" w:customStyle="1">
    <w:name w:val="Lined - Accent 2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2" w:customStyle="1">
    <w:name w:val="Lined - Accent 3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3" w:customStyle="1">
    <w:name w:val="Lined - Accent 4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4" w:customStyle="1">
    <w:name w:val="Lined - Accent 5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5" w:customStyle="1">
    <w:name w:val="Lined - Accent 6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6" w:customStyle="1">
    <w:name w:val="Bordered &amp; Lined - Accent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7" w:customStyle="1">
    <w:name w:val="Bordered &amp; Lined - Accent 1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8" w:customStyle="1">
    <w:name w:val="Bordered &amp; Lined - Accent 2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9" w:customStyle="1">
    <w:name w:val="Bordered &amp; Lined - Accent 3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0" w:customStyle="1">
    <w:name w:val="Bordered &amp; Lined - Accent 4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1" w:customStyle="1">
    <w:name w:val="Bordered &amp; Lined - Accent 5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2" w:customStyle="1">
    <w:name w:val="Bordered &amp; Lined - Accent 6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3" w:customStyle="1">
    <w:name w:val="Bordered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4" w:customStyle="1">
    <w:name w:val="Bordered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55" w:customStyle="1">
    <w:name w:val="Bordered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56" w:customStyle="1">
    <w:name w:val="Bordered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7" w:customStyle="1">
    <w:name w:val="Bordered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8" w:customStyle="1">
    <w:name w:val="Bordered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9" w:customStyle="1">
    <w:name w:val="Bordered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60">
    <w:name w:val="Hyperlink"/>
    <w:uiPriority w:val="99"/>
    <w:unhideWhenUsed/>
    <w:rPr>
      <w:color w:val="0563c1" w:themeColor="hyperlink"/>
      <w:u w:val="single"/>
    </w:rPr>
  </w:style>
  <w:style w:type="paragraph" w:styleId="861">
    <w:name w:val="footnote text"/>
    <w:basedOn w:val="678"/>
    <w:link w:val="862"/>
    <w:uiPriority w:val="99"/>
    <w:semiHidden/>
    <w:unhideWhenUsed/>
    <w:pPr>
      <w:spacing w:after="40"/>
    </w:pPr>
    <w:rPr>
      <w:sz w:val="18"/>
    </w:rPr>
  </w:style>
  <w:style w:type="character" w:styleId="862" w:customStyle="1">
    <w:name w:val="Текст сноски Знак"/>
    <w:link w:val="861"/>
    <w:uiPriority w:val="99"/>
    <w:rPr>
      <w:sz w:val="18"/>
    </w:rPr>
  </w:style>
  <w:style w:type="character" w:styleId="863">
    <w:name w:val="footnote reference"/>
    <w:basedOn w:val="688"/>
    <w:uiPriority w:val="99"/>
    <w:unhideWhenUsed/>
    <w:rPr>
      <w:vertAlign w:val="superscript"/>
    </w:rPr>
  </w:style>
  <w:style w:type="paragraph" w:styleId="864">
    <w:name w:val="endnote text"/>
    <w:basedOn w:val="678"/>
    <w:link w:val="865"/>
    <w:uiPriority w:val="99"/>
    <w:semiHidden/>
    <w:unhideWhenUsed/>
    <w:rPr>
      <w:sz w:val="20"/>
    </w:rPr>
  </w:style>
  <w:style w:type="character" w:styleId="865" w:customStyle="1">
    <w:name w:val="Текст концевой сноски Знак"/>
    <w:link w:val="864"/>
    <w:uiPriority w:val="99"/>
    <w:rPr>
      <w:sz w:val="20"/>
    </w:rPr>
  </w:style>
  <w:style w:type="character" w:styleId="866">
    <w:name w:val="endnote reference"/>
    <w:basedOn w:val="688"/>
    <w:uiPriority w:val="99"/>
    <w:semiHidden/>
    <w:unhideWhenUsed/>
    <w:rPr>
      <w:vertAlign w:val="superscript"/>
    </w:rPr>
  </w:style>
  <w:style w:type="paragraph" w:styleId="867">
    <w:name w:val="toc 1"/>
    <w:basedOn w:val="678"/>
    <w:next w:val="678"/>
    <w:uiPriority w:val="39"/>
    <w:unhideWhenUsed/>
    <w:pPr>
      <w:spacing w:after="57"/>
    </w:pPr>
  </w:style>
  <w:style w:type="paragraph" w:styleId="868">
    <w:name w:val="toc 2"/>
    <w:basedOn w:val="678"/>
    <w:next w:val="678"/>
    <w:uiPriority w:val="39"/>
    <w:unhideWhenUsed/>
    <w:pPr>
      <w:ind w:left="283"/>
      <w:spacing w:after="57"/>
    </w:pPr>
  </w:style>
  <w:style w:type="paragraph" w:styleId="869">
    <w:name w:val="toc 3"/>
    <w:basedOn w:val="678"/>
    <w:next w:val="678"/>
    <w:uiPriority w:val="39"/>
    <w:unhideWhenUsed/>
    <w:pPr>
      <w:ind w:left="567"/>
      <w:spacing w:after="57"/>
    </w:pPr>
  </w:style>
  <w:style w:type="paragraph" w:styleId="870">
    <w:name w:val="toc 4"/>
    <w:basedOn w:val="678"/>
    <w:next w:val="678"/>
    <w:uiPriority w:val="39"/>
    <w:unhideWhenUsed/>
    <w:pPr>
      <w:ind w:left="850"/>
      <w:spacing w:after="57"/>
    </w:pPr>
  </w:style>
  <w:style w:type="paragraph" w:styleId="871">
    <w:name w:val="toc 5"/>
    <w:basedOn w:val="678"/>
    <w:next w:val="678"/>
    <w:uiPriority w:val="39"/>
    <w:unhideWhenUsed/>
    <w:pPr>
      <w:ind w:left="1134"/>
      <w:spacing w:after="57"/>
    </w:pPr>
  </w:style>
  <w:style w:type="paragraph" w:styleId="872">
    <w:name w:val="toc 6"/>
    <w:basedOn w:val="678"/>
    <w:next w:val="678"/>
    <w:uiPriority w:val="39"/>
    <w:unhideWhenUsed/>
    <w:pPr>
      <w:ind w:left="1417"/>
      <w:spacing w:after="57"/>
    </w:pPr>
  </w:style>
  <w:style w:type="paragraph" w:styleId="873">
    <w:name w:val="toc 7"/>
    <w:basedOn w:val="678"/>
    <w:next w:val="678"/>
    <w:uiPriority w:val="39"/>
    <w:unhideWhenUsed/>
    <w:pPr>
      <w:ind w:left="1701"/>
      <w:spacing w:after="57"/>
    </w:pPr>
  </w:style>
  <w:style w:type="paragraph" w:styleId="874">
    <w:name w:val="toc 8"/>
    <w:basedOn w:val="678"/>
    <w:next w:val="678"/>
    <w:uiPriority w:val="39"/>
    <w:unhideWhenUsed/>
    <w:pPr>
      <w:ind w:left="1984"/>
      <w:spacing w:after="57"/>
    </w:pPr>
  </w:style>
  <w:style w:type="paragraph" w:styleId="875">
    <w:name w:val="toc 9"/>
    <w:basedOn w:val="678"/>
    <w:next w:val="678"/>
    <w:uiPriority w:val="39"/>
    <w:unhideWhenUsed/>
    <w:pPr>
      <w:ind w:left="2268"/>
      <w:spacing w:after="57"/>
    </w:pPr>
  </w:style>
  <w:style w:type="paragraph" w:styleId="876">
    <w:name w:val="TOC Heading"/>
    <w:uiPriority w:val="39"/>
    <w:unhideWhenUsed/>
  </w:style>
  <w:style w:type="paragraph" w:styleId="877">
    <w:name w:val="table of figures"/>
    <w:basedOn w:val="678"/>
    <w:next w:val="678"/>
    <w:uiPriority w:val="99"/>
    <w:unhideWhenUsed/>
  </w:style>
  <w:style w:type="paragraph" w:styleId="878" w:customStyle="1">
    <w:name w:val="ConsPlusNormal"/>
    <w:pPr>
      <w:spacing w:after="0" w:line="240" w:lineRule="auto"/>
      <w:widowControl w:val="off"/>
    </w:pPr>
    <w:rPr>
      <w:rFonts w:ascii="Times New Roman" w:hAnsi="Times New Roman" w:cs="Times New Roman" w:eastAsiaTheme="minorEastAsia"/>
      <w:sz w:val="24"/>
      <w:lang w:eastAsia="ru-RU"/>
    </w:rPr>
  </w:style>
  <w:style w:type="paragraph" w:styleId="879" w:customStyle="1">
    <w:name w:val="ConsPlusTitle"/>
    <w:pPr>
      <w:spacing w:after="0" w:line="240" w:lineRule="auto"/>
      <w:widowControl w:val="off"/>
    </w:pPr>
    <w:rPr>
      <w:rFonts w:ascii="Arial" w:hAnsi="Arial" w:cs="Arial" w:eastAsiaTheme="minorEastAsia"/>
      <w:b/>
      <w:sz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Диана Левоновна</dc:creator>
  <cp:keywords/>
  <dc:description/>
  <cp:lastModifiedBy>burkaleva</cp:lastModifiedBy>
  <cp:revision>16</cp:revision>
  <dcterms:created xsi:type="dcterms:W3CDTF">2025-10-30T13:59:00Z</dcterms:created>
  <dcterms:modified xsi:type="dcterms:W3CDTF">2026-03-26T11:59:59Z</dcterms:modified>
</cp:coreProperties>
</file>